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vnd.openxmlformats-officedocument.wordprocessingml.document.main+xml"/>
  <Default Extension="bin" ContentType="application/vnd.openxmlformats-officedocument.oleObject"/>
  <Override PartName="/word/numbering.xml" ContentType="application/vnd.openxmlformats-officedocument.wordprocessingml.numbering+xml"/>
  <Default Extension="wmf" ContentType="image/x-wmf"/>
  <Override PartName="/word/styles.xml" ContentType="application/vnd.openxmlformats-officedocument.wordprocessingml.styles+xml"/>
</Types>
</file>

<file path=_rels/.rels><?xml version="1.0"?><Relationships xmlns="http://schemas.openxmlformats.org/package/2006/relationships"><Relationship Target="word/document.xml" Id="pkgRId0" Type="http://schemas.openxmlformats.org/officeDocument/2006/relationships/officeDocument"/></Relationships>
</file>

<file path=word/document.xml><?xml version="1.0" encoding="utf-8"?>
<w:document xmlns:w="http://schemas.openxmlformats.org/wordprocessingml/2006/main">
  <w:body>
    <w:p>
      <w:pPr>
        <w:spacing w:before="0" w:after="0" w:line="240"/>
        <w:ind w:right="0" w:left="0" w:firstLine="0"/>
        <w:jc w:val="center"/>
        <w:rPr>
          <w:rFonts w:ascii="Calibri" w:hAnsi="Calibri" w:cs="Calibri" w:eastAsia="Calibri"/>
          <w:b/>
          <w:color w:val="auto"/>
          <w:spacing w:val="0"/>
          <w:position w:val="0"/>
          <w:sz w:val="24"/>
          <w:u w:val="single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E36C0A"/>
          <w:spacing w:val="0"/>
          <w:position w:val="0"/>
          <w:sz w:val="40"/>
          <w:shd w:fill="auto" w:val="clear"/>
        </w:rPr>
        <w:t xml:space="preserve">Описание параметров </w:t>
      </w:r>
      <w:r>
        <w:rPr>
          <w:rFonts w:ascii="Times New Roman" w:hAnsi="Times New Roman" w:cs="Times New Roman" w:eastAsia="Times New Roman"/>
          <w:b/>
          <w:color w:val="E36C0A"/>
          <w:spacing w:val="0"/>
          <w:position w:val="0"/>
          <w:sz w:val="40"/>
          <w:shd w:fill="FFFFFF" w:val="clear"/>
        </w:rPr>
        <w:t xml:space="preserve">VIP (Very Intensive Profit)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 </w:t>
      </w:r>
      <w:r>
        <w:object w:dxaOrig="8812" w:dyaOrig="835">
          <v:rect xmlns:o="urn:schemas-microsoft-com:office:office" xmlns:v="urn:schemas-microsoft-com:vml" id="rectole0000000000" style="width:440.600000pt;height:41.750000pt" o:preferrelative="t" o:ole="">
            <o:lock v:ext="edit"/>
            <v:imagedata xmlns:r="http://schemas.openxmlformats.org/officeDocument/2006/relationships" r:id="docRId1" o:title=""/>
          </v:rect>
          <o:OLEObject xmlns:r="http://schemas.openxmlformats.org/officeDocument/2006/relationships" xmlns:o="urn:schemas-microsoft-com:office:office" Type="Embed" ProgID="StaticMetafile" DrawAspect="Content" ObjectID="0000000000" ShapeID="rectole0000000000" r:id="docRId0"/>
        </w:objec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  </w:t>
      </w:r>
      <w:r>
        <w:object w:dxaOrig="2908" w:dyaOrig="2764">
          <v:rect xmlns:o="urn:schemas-microsoft-com:office:office" xmlns:v="urn:schemas-microsoft-com:vml" id="rectole0000000001" style="width:145.400000pt;height:138.200000pt" o:preferrelative="t" o:ole="">
            <o:lock v:ext="edit"/>
            <v:imagedata xmlns:r="http://schemas.openxmlformats.org/officeDocument/2006/relationships" r:id="docRId3" o:title=""/>
          </v:rect>
          <o:OLEObject xmlns:r="http://schemas.openxmlformats.org/officeDocument/2006/relationships" xmlns:o="urn:schemas-microsoft-com:office:office" Type="Embed" ProgID="StaticMetafile" DrawAspect="Content" ObjectID="0000000001" ShapeID="rectole0000000001" r:id="docRId2"/>
        </w:object>
      </w:r>
    </w:p>
    <w:p>
      <w:pPr>
        <w:spacing w:before="0" w:after="0" w:line="240"/>
        <w:ind w:right="0" w:left="0" w:firstLine="0"/>
        <w:jc w:val="center"/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</w:pPr>
    </w:p>
    <w:p>
      <w:pPr>
        <w:numPr>
          <w:ilvl w:val="0"/>
          <w:numId w:val="2"/>
        </w:numPr>
        <w:tabs>
          <w:tab w:val="left" w:pos="360" w:leader="none"/>
        </w:tabs>
        <w:spacing w:before="0" w:after="0" w:line="240"/>
        <w:ind w:right="0" w:left="360" w:hanging="360"/>
        <w:jc w:val="both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  <w:r>
        <w:rPr>
          <w:rFonts w:ascii="Calibri" w:hAnsi="Calibri" w:cs="Calibri" w:eastAsia="Calibri"/>
          <w:b/>
          <w:color w:val="E36C0A"/>
          <w:spacing w:val="0"/>
          <w:position w:val="0"/>
          <w:sz w:val="28"/>
          <w:shd w:fill="auto" w:val="clear"/>
        </w:rPr>
        <w:t xml:space="preserve">Валютная пара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 –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выбор той пары которая открыта на графике(сет встроен)</w:t>
      </w:r>
    </w:p>
    <w:p>
      <w:pPr>
        <w:numPr>
          <w:ilvl w:val="0"/>
          <w:numId w:val="2"/>
        </w:numPr>
        <w:tabs>
          <w:tab w:val="left" w:pos="360" w:leader="none"/>
        </w:tabs>
        <w:spacing w:before="0" w:after="0" w:line="240"/>
        <w:ind w:right="0" w:left="360" w:hanging="360"/>
        <w:jc w:val="both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  <w:r>
        <w:rPr>
          <w:rFonts w:ascii="Calibri" w:hAnsi="Calibri" w:cs="Calibri" w:eastAsia="Calibri"/>
          <w:b/>
          <w:color w:val="E36C0A"/>
          <w:spacing w:val="0"/>
          <w:position w:val="0"/>
          <w:sz w:val="28"/>
          <w:shd w:fill="auto" w:val="clear"/>
        </w:rPr>
        <w:t xml:space="preserve">Агрессивность торговли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 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–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 низки(консервативный),средний,высокий</w:t>
      </w:r>
    </w:p>
    <w:p>
      <w:pPr>
        <w:numPr>
          <w:ilvl w:val="0"/>
          <w:numId w:val="2"/>
        </w:numPr>
        <w:tabs>
          <w:tab w:val="left" w:pos="360" w:leader="none"/>
        </w:tabs>
        <w:spacing w:before="0" w:after="0" w:line="240"/>
        <w:ind w:right="0" w:left="360" w:hanging="360"/>
        <w:jc w:val="both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  <w:r>
        <w:rPr>
          <w:rFonts w:ascii="Calibri" w:hAnsi="Calibri" w:cs="Calibri" w:eastAsia="Calibri"/>
          <w:b/>
          <w:color w:val="E36C0A"/>
          <w:spacing w:val="0"/>
          <w:position w:val="0"/>
          <w:sz w:val="28"/>
          <w:shd w:fill="auto" w:val="clear"/>
        </w:rPr>
        <w:t xml:space="preserve">Прекращение работы после закрытия текущих ордеров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 –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"</w:t>
      </w:r>
      <w:r>
        <w:rPr>
          <w:rFonts w:ascii="Calibri" w:hAnsi="Calibri" w:cs="Calibri" w:eastAsia="Calibri"/>
          <w:color w:val="FF0000"/>
          <w:spacing w:val="0"/>
          <w:position w:val="0"/>
          <w:sz w:val="28"/>
          <w:shd w:fill="auto" w:val="clear"/>
        </w:rPr>
        <w:t xml:space="preserve">Да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"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 - закрытие ордеров по текущей паре (сушка),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"</w:t>
      </w:r>
      <w:r>
        <w:rPr>
          <w:rFonts w:ascii="Calibri" w:hAnsi="Calibri" w:cs="Calibri" w:eastAsia="Calibri"/>
          <w:color w:val="FF0000"/>
          <w:spacing w:val="0"/>
          <w:position w:val="0"/>
          <w:sz w:val="28"/>
          <w:shd w:fill="auto" w:val="clear"/>
        </w:rPr>
        <w:t xml:space="preserve">Нет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"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 - работа в текущем режиме без изменения</w:t>
      </w:r>
    </w:p>
    <w:p>
      <w:pPr>
        <w:numPr>
          <w:ilvl w:val="0"/>
          <w:numId w:val="2"/>
        </w:numPr>
        <w:tabs>
          <w:tab w:val="left" w:pos="360" w:leader="none"/>
        </w:tabs>
        <w:spacing w:before="0" w:after="0" w:line="240"/>
        <w:ind w:right="0" w:left="360" w:hanging="360"/>
        <w:jc w:val="both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  <w:r>
        <w:rPr>
          <w:rFonts w:ascii="Calibri" w:hAnsi="Calibri" w:cs="Calibri" w:eastAsia="Calibri"/>
          <w:b/>
          <w:color w:val="E36C0A"/>
          <w:spacing w:val="0"/>
          <w:position w:val="0"/>
          <w:sz w:val="28"/>
          <w:shd w:fill="auto" w:val="clear"/>
        </w:rPr>
        <w:t xml:space="preserve">Отключение авто-торговли, </w:t>
      </w:r>
      <w:r>
        <w:rPr>
          <w:rFonts w:ascii="Calibri" w:hAnsi="Calibri" w:cs="Calibri" w:eastAsia="Calibri"/>
          <w:b/>
          <w:color w:val="E36C0A"/>
          <w:spacing w:val="0"/>
          <w:position w:val="0"/>
          <w:sz w:val="28"/>
          <w:shd w:fill="auto" w:val="clear"/>
        </w:rPr>
        <w:t xml:space="preserve">%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 –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выставление процента просадки для отключения АТ,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EurJpy (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По умолчанию 10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%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) на остальных (40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%)</w:t>
      </w:r>
    </w:p>
    <w:p>
      <w:pPr>
        <w:numPr>
          <w:ilvl w:val="0"/>
          <w:numId w:val="2"/>
        </w:numPr>
        <w:tabs>
          <w:tab w:val="left" w:pos="360" w:leader="none"/>
        </w:tabs>
        <w:spacing w:before="0" w:after="0" w:line="240"/>
        <w:ind w:right="0" w:left="360" w:hanging="360"/>
        <w:jc w:val="both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  <w:r>
        <w:rPr>
          <w:rFonts w:ascii="Calibri" w:hAnsi="Calibri" w:cs="Calibri" w:eastAsia="Calibri"/>
          <w:b/>
          <w:color w:val="E36C0A"/>
          <w:spacing w:val="0"/>
          <w:position w:val="0"/>
          <w:sz w:val="28"/>
          <w:shd w:fill="auto" w:val="clear"/>
        </w:rPr>
        <w:t xml:space="preserve">Увеличение лота при изменении баланса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 –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"</w:t>
      </w:r>
      <w:r>
        <w:rPr>
          <w:rFonts w:ascii="Calibri" w:hAnsi="Calibri" w:cs="Calibri" w:eastAsia="Calibri"/>
          <w:color w:val="FF0000"/>
          <w:spacing w:val="0"/>
          <w:position w:val="0"/>
          <w:sz w:val="28"/>
          <w:shd w:fill="auto" w:val="clear"/>
        </w:rPr>
        <w:t xml:space="preserve">Включен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"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 - при открытии ордера объем лота производится от суммы депозита (100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$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 - 0.01лот,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1000$ - 0.10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лот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)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,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"</w:t>
      </w:r>
      <w:r>
        <w:rPr>
          <w:rFonts w:ascii="Calibri" w:hAnsi="Calibri" w:cs="Calibri" w:eastAsia="Calibri"/>
          <w:color w:val="FF0000"/>
          <w:spacing w:val="0"/>
          <w:position w:val="0"/>
          <w:sz w:val="28"/>
          <w:shd w:fill="auto" w:val="clear"/>
        </w:rPr>
        <w:t xml:space="preserve">Выключен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"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 - объем лота открывается от 0.01(100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$)</w:t>
      </w:r>
    </w:p>
    <w:p>
      <w:pPr>
        <w:numPr>
          <w:ilvl w:val="0"/>
          <w:numId w:val="2"/>
        </w:numPr>
        <w:tabs>
          <w:tab w:val="left" w:pos="360" w:leader="none"/>
        </w:tabs>
        <w:spacing w:before="0" w:after="0" w:line="240"/>
        <w:ind w:right="0" w:left="360" w:hanging="360"/>
        <w:jc w:val="both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  <w:r>
        <w:rPr>
          <w:rFonts w:ascii="Calibri" w:hAnsi="Calibri" w:cs="Calibri" w:eastAsia="Calibri"/>
          <w:b/>
          <w:color w:val="E36C0A"/>
          <w:spacing w:val="0"/>
          <w:position w:val="0"/>
          <w:sz w:val="28"/>
          <w:shd w:fill="auto" w:val="clear"/>
        </w:rPr>
        <w:t xml:space="preserve">Информация по торговле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 -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вывод информации о данных счета</w:t>
      </w:r>
    </w:p>
    <w:p>
      <w:pPr>
        <w:spacing w:before="0" w:after="0" w:line="240"/>
        <w:ind w:right="0" w:left="0" w:firstLine="0"/>
        <w:jc w:val="both"/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center"/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Calibri" w:hAnsi="Calibri" w:cs="Calibri" w:eastAsia="Calibri"/>
          <w:b/>
          <w:color w:val="auto"/>
          <w:spacing w:val="0"/>
          <w:position w:val="0"/>
          <w:sz w:val="28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8"/>
          <w:shd w:fill="auto" w:val="clear"/>
        </w:rPr>
        <w:t xml:space="preserve">Параметры стратегий советника:</w:t>
      </w:r>
    </w:p>
    <w:p>
      <w:pPr>
        <w:numPr>
          <w:ilvl w:val="0"/>
          <w:numId w:val="6"/>
        </w:numPr>
        <w:tabs>
          <w:tab w:val="left" w:pos="360" w:leader="none"/>
        </w:tabs>
        <w:spacing w:before="0" w:after="0" w:line="240"/>
        <w:ind w:right="0" w:left="360" w:hanging="36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Calibri" w:hAnsi="Calibri" w:cs="Calibri" w:eastAsia="Calibri"/>
          <w:b/>
          <w:color w:val="E36C0A"/>
          <w:spacing w:val="0"/>
          <w:position w:val="0"/>
          <w:sz w:val="28"/>
          <w:shd w:fill="auto" w:val="clear"/>
        </w:rPr>
        <w:t xml:space="preserve">Использовать стратегию №1/2/3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– включение/выключение стратегии.</w:t>
      </w:r>
    </w:p>
  </w:body>
</w:document>
</file>

<file path=word/numbering.xml><?xml version="1.0" encoding="utf-8"?>
<w:numbering xmlns:w="http://schemas.openxmlformats.org/wordprocessingml/2006/main">
  <w:abstractNum w:abstractNumId="0">
    <w:lvl w:ilvl="0">
      <w:start w:val="1"/>
      <w:numFmt w:val="bullet"/>
      <w:lvlText w:val="•"/>
    </w:lvl>
  </w:abstractNum>
  <w:abstractNum w:abstractNumId="6">
    <w:lvl w:ilvl="0">
      <w:start w:val="1"/>
      <w:numFmt w:val="bullet"/>
      <w:lvlText w:val="•"/>
    </w:lvl>
  </w:abstractNum>
  <w:num w:numId="2">
    <w:abstractNumId w:val="6"/>
  </w:num>
  <w:num w:numId="6">
    <w:abstractNumId w:val="0"/>
  </w:num>
</w:numbering>
</file>

<file path=word/styles.xml><?xml version="1.0" encoding="utf-8"?>
<w:styles xmlns:w="http://schemas.openxmlformats.org/wordprocessingml/2006/main"/>
</file>

<file path=word/_rels/document.xml.rels><?xml version="1.0"?><Relationships xmlns="http://schemas.openxmlformats.org/package/2006/relationships"><Relationship Target="media/image0.wmf" Id="docRId1" Type="http://schemas.openxmlformats.org/officeDocument/2006/relationships/image"/><Relationship Target="media/image1.wmf" Id="docRId3" Type="http://schemas.openxmlformats.org/officeDocument/2006/relationships/image"/><Relationship Target="styles.xml" Id="docRId5" Type="http://schemas.openxmlformats.org/officeDocument/2006/relationships/styles"/><Relationship Target="embeddings/oleObject0.bin" Id="docRId0" Type="http://schemas.openxmlformats.org/officeDocument/2006/relationships/oleObject"/><Relationship Target="embeddings/oleObject1.bin" Id="docRId2" Type="http://schemas.openxmlformats.org/officeDocument/2006/relationships/oleObject"/><Relationship Target="numbering.xml" Id="docRId4" Type="http://schemas.openxmlformats.org/officeDocument/2006/relationships/numbering"/></Relationships>
</file>